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210B" w:rsidP="00EA210B">
      <w:pPr>
        <w:pStyle w:val="Standard"/>
        <w:ind w:right="-18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 О С Т А Н О В Л Е Н И Е</w:t>
      </w:r>
    </w:p>
    <w:p w:rsidR="00711914" w:rsidRPr="00711914" w:rsidP="00EA210B">
      <w:pPr>
        <w:pStyle w:val="Standard"/>
        <w:ind w:right="-185"/>
        <w:jc w:val="center"/>
        <w:rPr>
          <w:rFonts w:ascii="Times New Roman" w:eastAsia="Times New Roman" w:hAnsi="Times New Roman" w:cs="Times New Roman"/>
          <w:bCs/>
          <w:lang w:eastAsia="ru-RU"/>
        </w:rPr>
      </w:pP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sidRPr="00711914">
        <w:rPr>
          <w:rFonts w:ascii="Times New Roman" w:eastAsia="Times New Roman" w:hAnsi="Times New Roman" w:cs="Times New Roman"/>
          <w:bCs/>
          <w:lang w:eastAsia="ru-RU"/>
        </w:rPr>
        <w:t>№3-332-13-244/2024</w:t>
      </w:r>
    </w:p>
    <w:p w:rsidR="00EA210B" w:rsidP="00EA210B">
      <w:pPr>
        <w:pStyle w:val="Standard"/>
        <w:ind w:right="-185"/>
        <w:jc w:val="center"/>
        <w:rPr>
          <w:rFonts w:ascii="Times New Roman" w:eastAsia="Times New Roman" w:hAnsi="Times New Roman" w:cs="Times New Roman"/>
          <w:b/>
          <w:bCs/>
          <w:sz w:val="28"/>
          <w:szCs w:val="28"/>
          <w:lang w:eastAsia="ru-RU"/>
        </w:rPr>
      </w:pPr>
    </w:p>
    <w:p w:rsidR="00EA210B" w:rsidP="00EA210B">
      <w:pPr>
        <w:pStyle w:val="Standard"/>
        <w:ind w:right="-185" w:firstLine="708"/>
        <w:rPr>
          <w:rFonts w:hint="eastAsia"/>
        </w:rPr>
      </w:pPr>
      <w:r>
        <w:rPr>
          <w:rFonts w:ascii="Times New Roman" w:eastAsia="Times New Roman" w:hAnsi="Times New Roman" w:cs="Times New Roman"/>
          <w:sz w:val="28"/>
          <w:szCs w:val="28"/>
          <w:lang w:eastAsia="ru-RU"/>
        </w:rPr>
        <w:t xml:space="preserve">город </w:t>
      </w:r>
      <w:r>
        <w:rPr>
          <w:rFonts w:ascii="Times New Roman" w:eastAsia="Times New Roman" w:hAnsi="Times New Roman" w:cs="Times New Roman"/>
          <w:sz w:val="28"/>
          <w:szCs w:val="28"/>
          <w:lang w:eastAsia="ru-RU"/>
        </w:rPr>
        <w:t>Новопавловск</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2 </w:t>
      </w:r>
      <w:r w:rsidR="00711914">
        <w:rPr>
          <w:rFonts w:ascii="Times New Roman" w:eastAsia="Times New Roman" w:hAnsi="Times New Roman" w:cs="Times New Roman"/>
          <w:sz w:val="28"/>
          <w:szCs w:val="28"/>
          <w:lang w:eastAsia="ru-RU"/>
        </w:rPr>
        <w:t>июля 2024</w:t>
      </w:r>
      <w:r>
        <w:rPr>
          <w:rFonts w:ascii="Times New Roman" w:eastAsia="Times New Roman" w:hAnsi="Times New Roman" w:cs="Times New Roman"/>
          <w:sz w:val="28"/>
          <w:szCs w:val="28"/>
          <w:lang w:eastAsia="ru-RU"/>
        </w:rPr>
        <w:t xml:space="preserve"> года</w:t>
      </w:r>
    </w:p>
    <w:p w:rsidR="00EA210B" w:rsidP="00EA210B">
      <w:pPr>
        <w:pStyle w:val="Standard"/>
        <w:ind w:right="-185"/>
        <w:jc w:val="center"/>
        <w:rPr>
          <w:rFonts w:ascii="Times New Roman" w:eastAsia="Times New Roman" w:hAnsi="Times New Roman" w:cs="Times New Roman"/>
          <w:sz w:val="28"/>
          <w:szCs w:val="28"/>
          <w:lang w:eastAsia="ru-RU"/>
        </w:rPr>
      </w:pPr>
    </w:p>
    <w:p w:rsidR="00EA210B" w:rsidP="00EA210B">
      <w:pPr>
        <w:pStyle w:val="Standard"/>
        <w:keepNext/>
        <w:ind w:right="-1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w:t>
      </w:r>
      <w:r>
        <w:rPr>
          <w:rFonts w:ascii="Times New Roman" w:eastAsia="Times New Roman" w:hAnsi="Times New Roman" w:cs="Times New Roman"/>
          <w:sz w:val="28"/>
          <w:szCs w:val="28"/>
          <w:lang w:eastAsia="ru-RU"/>
        </w:rPr>
        <w:t>1  Кировского</w:t>
      </w:r>
      <w:r>
        <w:rPr>
          <w:rFonts w:ascii="Times New Roman" w:eastAsia="Times New Roman" w:hAnsi="Times New Roman" w:cs="Times New Roman"/>
          <w:sz w:val="28"/>
          <w:szCs w:val="28"/>
          <w:lang w:eastAsia="ru-RU"/>
        </w:rPr>
        <w:t xml:space="preserve"> района Ставропольского края Шевелева С.Н.,</w:t>
      </w:r>
    </w:p>
    <w:p w:rsidR="00EA210B" w:rsidP="00EA210B">
      <w:pPr>
        <w:pStyle w:val="Standard"/>
        <w:ind w:right="-185"/>
        <w:jc w:val="both"/>
        <w:rPr>
          <w:rFonts w:hint="eastAsia"/>
        </w:rPr>
      </w:pPr>
      <w:r>
        <w:rPr>
          <w:rFonts w:ascii="Times New Roman" w:eastAsia="Times New Roman" w:hAnsi="Times New Roman" w:cs="Times New Roman"/>
          <w:sz w:val="28"/>
          <w:szCs w:val="28"/>
          <w:lang w:eastAsia="ru-RU"/>
        </w:rPr>
        <w:tab/>
        <w:t xml:space="preserve"> рассмотрев в помещении мирового суда дело об административном правонарушении в отношении </w:t>
      </w:r>
      <w:r w:rsidR="002F42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совершении правонарушения </w:t>
      </w:r>
      <w:r>
        <w:rPr>
          <w:rFonts w:ascii="Times New Roman" w:eastAsia="Times New Roman" w:hAnsi="Times New Roman" w:cs="Times New Roman"/>
          <w:sz w:val="28"/>
          <w:szCs w:val="28"/>
          <w:lang w:eastAsia="ru-RU"/>
        </w:rPr>
        <w:t>предусмотренного  ч.</w:t>
      </w:r>
      <w:r>
        <w:rPr>
          <w:rFonts w:ascii="Times New Roman" w:eastAsia="Times New Roman" w:hAnsi="Times New Roman" w:cs="Times New Roman"/>
          <w:sz w:val="28"/>
          <w:szCs w:val="28"/>
          <w:lang w:eastAsia="ru-RU"/>
        </w:rPr>
        <w:t xml:space="preserve"> 2 ст. 12.2 КоАП РФ,</w:t>
      </w:r>
    </w:p>
    <w:p w:rsidR="00EA210B" w:rsidP="00EA210B">
      <w:pPr>
        <w:pStyle w:val="Standard"/>
        <w:ind w:right="-185" w:firstLine="54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 С Т А Н О В И Л:</w:t>
      </w:r>
    </w:p>
    <w:p w:rsidR="00EA210B" w:rsidP="00EA210B">
      <w:pPr>
        <w:pStyle w:val="Standard"/>
        <w:ind w:right="-185" w:firstLine="540"/>
        <w:jc w:val="center"/>
        <w:rPr>
          <w:rFonts w:ascii="Times New Roman" w:eastAsia="Times New Roman" w:hAnsi="Times New Roman" w:cs="Times New Roman"/>
          <w:b/>
          <w:bCs/>
          <w:sz w:val="28"/>
          <w:szCs w:val="28"/>
          <w:lang w:eastAsia="ru-RU"/>
        </w:rPr>
      </w:pPr>
    </w:p>
    <w:p w:rsidR="00EA210B" w:rsidP="00EA210B">
      <w:pPr>
        <w:pStyle w:val="Standard"/>
        <w:keepNext/>
        <w:tabs>
          <w:tab w:val="left" w:pos="6480"/>
          <w:tab w:val="left" w:pos="6840"/>
        </w:tabs>
        <w:ind w:right="-185" w:firstLine="708"/>
        <w:jc w:val="both"/>
        <w:rPr>
          <w:rFonts w:hint="eastAsia"/>
        </w:rPr>
      </w:pPr>
      <w:r>
        <w:rPr>
          <w:rFonts w:ascii="Times New Roman" w:eastAsia="Times New Roman" w:hAnsi="Times New Roman" w:cs="Times New Roman"/>
          <w:sz w:val="28"/>
          <w:szCs w:val="28"/>
          <w:lang w:eastAsia="ru-RU"/>
        </w:rPr>
        <w:t xml:space="preserve">Из протокола об административном правонарушении </w:t>
      </w:r>
      <w:r w:rsidR="00711914">
        <w:rPr>
          <w:rFonts w:ascii="Times New Roman" w:eastAsia="Times New Roman" w:hAnsi="Times New Roman" w:cs="Times New Roman"/>
          <w:sz w:val="28"/>
          <w:szCs w:val="28"/>
          <w:lang w:eastAsia="ru-RU"/>
        </w:rPr>
        <w:t>26 ВУ</w:t>
      </w:r>
      <w:r>
        <w:rPr>
          <w:rFonts w:ascii="Times New Roman" w:eastAsia="Times New Roman" w:hAnsi="Times New Roman" w:cs="Times New Roman"/>
          <w:sz w:val="28"/>
          <w:szCs w:val="28"/>
          <w:lang w:eastAsia="ru-RU"/>
        </w:rPr>
        <w:t xml:space="preserve"> № </w:t>
      </w:r>
      <w:r w:rsidR="00711914">
        <w:rPr>
          <w:rFonts w:ascii="Times New Roman" w:eastAsia="Times New Roman" w:hAnsi="Times New Roman" w:cs="Times New Roman"/>
          <w:sz w:val="28"/>
          <w:szCs w:val="28"/>
          <w:lang w:eastAsia="ru-RU"/>
        </w:rPr>
        <w:t>326230</w:t>
      </w:r>
      <w:r>
        <w:rPr>
          <w:rFonts w:ascii="Times New Roman" w:eastAsia="Times New Roman" w:hAnsi="Times New Roman" w:cs="Times New Roman"/>
          <w:sz w:val="28"/>
          <w:szCs w:val="28"/>
          <w:lang w:eastAsia="ru-RU"/>
        </w:rPr>
        <w:t xml:space="preserve">, составленного </w:t>
      </w:r>
      <w:r w:rsidR="00711914">
        <w:rPr>
          <w:rFonts w:ascii="Times New Roman" w:eastAsia="Times New Roman" w:hAnsi="Times New Roman" w:cs="Times New Roman"/>
          <w:sz w:val="28"/>
          <w:szCs w:val="28"/>
          <w:lang w:eastAsia="ru-RU"/>
        </w:rPr>
        <w:t>16 апреля 2024</w:t>
      </w:r>
      <w:r>
        <w:rPr>
          <w:rFonts w:ascii="Times New Roman" w:eastAsia="Times New Roman" w:hAnsi="Times New Roman" w:cs="Times New Roman"/>
          <w:sz w:val="28"/>
          <w:szCs w:val="28"/>
          <w:lang w:eastAsia="ru-RU"/>
        </w:rPr>
        <w:t xml:space="preserve"> года ИДПС </w:t>
      </w:r>
      <w:r w:rsidR="00711914">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lang w:eastAsia="ru-RU"/>
        </w:rPr>
        <w:t xml:space="preserve">БДПС ГИБДД </w:t>
      </w:r>
      <w:r w:rsidR="00711914">
        <w:rPr>
          <w:rFonts w:ascii="Times New Roman" w:eastAsia="Times New Roman" w:hAnsi="Times New Roman" w:cs="Times New Roman"/>
          <w:sz w:val="28"/>
          <w:szCs w:val="28"/>
          <w:lang w:eastAsia="ru-RU"/>
        </w:rPr>
        <w:t>г.Ессентуки</w:t>
      </w:r>
      <w:r>
        <w:rPr>
          <w:rFonts w:ascii="Times New Roman" w:eastAsia="Times New Roman" w:hAnsi="Times New Roman" w:cs="Times New Roman"/>
          <w:sz w:val="28"/>
          <w:szCs w:val="28"/>
          <w:lang w:eastAsia="ru-RU"/>
        </w:rPr>
        <w:t xml:space="preserve">   следует, что </w:t>
      </w:r>
      <w:r w:rsidR="002F42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11914">
        <w:rPr>
          <w:rFonts w:ascii="Times New Roman" w:eastAsia="Times New Roman" w:hAnsi="Times New Roman" w:cs="Times New Roman"/>
          <w:sz w:val="28"/>
          <w:szCs w:val="28"/>
          <w:lang w:eastAsia="ru-RU"/>
        </w:rPr>
        <w:t>16 апреля 2024</w:t>
      </w:r>
      <w:r>
        <w:rPr>
          <w:rFonts w:ascii="Times New Roman" w:eastAsia="Times New Roman" w:hAnsi="Times New Roman" w:cs="Times New Roman"/>
          <w:sz w:val="28"/>
          <w:szCs w:val="28"/>
          <w:lang w:eastAsia="ru-RU"/>
        </w:rPr>
        <w:t xml:space="preserve"> года </w:t>
      </w:r>
      <w:r w:rsidR="00711914">
        <w:rPr>
          <w:rFonts w:ascii="Times New Roman" w:eastAsia="Times New Roman" w:hAnsi="Times New Roman" w:cs="Times New Roman"/>
          <w:sz w:val="28"/>
          <w:szCs w:val="28"/>
          <w:lang w:eastAsia="ru-RU"/>
        </w:rPr>
        <w:t>23 часа 05</w:t>
      </w:r>
      <w:r>
        <w:rPr>
          <w:rFonts w:ascii="Times New Roman" w:eastAsia="Times New Roman" w:hAnsi="Times New Roman" w:cs="Times New Roman"/>
          <w:sz w:val="28"/>
          <w:szCs w:val="28"/>
          <w:lang w:eastAsia="ru-RU"/>
        </w:rPr>
        <w:t xml:space="preserve"> минут на </w:t>
      </w:r>
      <w:r w:rsidR="00711914">
        <w:rPr>
          <w:rFonts w:ascii="Times New Roman" w:eastAsia="Times New Roman" w:hAnsi="Times New Roman" w:cs="Times New Roman"/>
          <w:sz w:val="28"/>
          <w:szCs w:val="28"/>
          <w:lang w:eastAsia="ru-RU"/>
        </w:rPr>
        <w:t>330км+950м</w:t>
      </w:r>
      <w:r>
        <w:rPr>
          <w:rFonts w:ascii="Times New Roman" w:eastAsia="Times New Roman" w:hAnsi="Times New Roman" w:cs="Times New Roman"/>
          <w:sz w:val="28"/>
          <w:szCs w:val="28"/>
          <w:lang w:eastAsia="ru-RU"/>
        </w:rPr>
        <w:t xml:space="preserve"> </w:t>
      </w:r>
      <w:r w:rsidR="00711914">
        <w:rPr>
          <w:rFonts w:ascii="Times New Roman" w:eastAsia="Times New Roman" w:hAnsi="Times New Roman" w:cs="Times New Roman"/>
          <w:sz w:val="28"/>
          <w:szCs w:val="28"/>
          <w:lang w:eastAsia="ru-RU"/>
        </w:rPr>
        <w:t xml:space="preserve">ФАД </w:t>
      </w:r>
      <w:r w:rsidR="00711914">
        <w:rPr>
          <w:rFonts w:ascii="Times New Roman" w:eastAsia="Times New Roman" w:hAnsi="Times New Roman" w:cs="Times New Roman"/>
          <w:sz w:val="28"/>
          <w:szCs w:val="28"/>
          <w:lang w:eastAsia="ru-RU"/>
        </w:rPr>
        <w:t>кавказ</w:t>
      </w:r>
      <w:r w:rsidR="00711914">
        <w:rPr>
          <w:rFonts w:ascii="Times New Roman" w:eastAsia="Times New Roman" w:hAnsi="Times New Roman" w:cs="Times New Roman"/>
          <w:sz w:val="28"/>
          <w:szCs w:val="28"/>
          <w:lang w:eastAsia="ru-RU"/>
        </w:rPr>
        <w:t xml:space="preserve"> М4 Дон Р-217</w:t>
      </w:r>
      <w:r>
        <w:rPr>
          <w:rFonts w:ascii="Times New Roman" w:eastAsia="Times New Roman" w:hAnsi="Times New Roman" w:cs="Times New Roman"/>
          <w:sz w:val="28"/>
          <w:szCs w:val="28"/>
          <w:lang w:eastAsia="ru-RU"/>
        </w:rPr>
        <w:t xml:space="preserve">, управлял транспортным средством </w:t>
      </w:r>
      <w:r w:rsidR="002F42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государственный номер </w:t>
      </w:r>
      <w:r w:rsidR="002F426D">
        <w:rPr>
          <w:rFonts w:ascii="Times New Roman" w:eastAsia="Times New Roman" w:hAnsi="Times New Roman" w:cs="Times New Roman"/>
          <w:sz w:val="28"/>
          <w:szCs w:val="28"/>
          <w:lang w:eastAsia="ru-RU"/>
        </w:rPr>
        <w:t>***</w:t>
      </w:r>
      <w:r w:rsidR="004E451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при </w:t>
      </w:r>
      <w:r>
        <w:rPr>
          <w:rFonts w:ascii="Times New Roman" w:eastAsia="Times New Roman" w:hAnsi="Times New Roman" w:cs="Times New Roman"/>
          <w:sz w:val="28"/>
          <w:szCs w:val="28"/>
          <w:lang w:eastAsia="ru-RU"/>
        </w:rPr>
        <w:t>этом  государственные</w:t>
      </w:r>
      <w:r>
        <w:rPr>
          <w:rFonts w:ascii="Times New Roman" w:eastAsia="Times New Roman" w:hAnsi="Times New Roman" w:cs="Times New Roman"/>
          <w:sz w:val="28"/>
          <w:szCs w:val="28"/>
          <w:lang w:eastAsia="ru-RU"/>
        </w:rPr>
        <w:t xml:space="preserve"> регистрационные знаки были оборудованы с применением устройства, который препятствует его идентификации,  ответственность за которое предусмотрена ч. 2 ст. 12.2 КоАП ПФ.</w:t>
      </w:r>
    </w:p>
    <w:p w:rsidR="00EA210B" w:rsidRPr="00396BC7" w:rsidP="004E4512">
      <w:pPr>
        <w:pStyle w:val="Standard"/>
        <w:shd w:val="clear" w:color="auto" w:fill="FFFFFF"/>
        <w:ind w:firstLine="709"/>
        <w:jc w:val="both"/>
        <w:rPr>
          <w:rFonts w:hint="eastAsia"/>
          <w:sz w:val="28"/>
          <w:szCs w:val="28"/>
        </w:rPr>
      </w:pPr>
      <w:r w:rsidRPr="00396BC7">
        <w:rPr>
          <w:rFonts w:ascii="Times New Roman" w:eastAsia="Times New Roman" w:hAnsi="Times New Roman" w:cs="Times New Roman"/>
          <w:sz w:val="28"/>
          <w:szCs w:val="28"/>
          <w:lang w:eastAsia="ru-RU"/>
        </w:rPr>
        <w:t xml:space="preserve">В судебное заседание лицо, в отношении которого ведется дело об административном правонарушении </w:t>
      </w:r>
      <w:r w:rsidR="002F426D">
        <w:rPr>
          <w:rFonts w:ascii="Times New Roman" w:eastAsia="Times New Roman" w:hAnsi="Times New Roman" w:cs="Times New Roman"/>
          <w:sz w:val="28"/>
          <w:szCs w:val="28"/>
          <w:lang w:eastAsia="ru-RU"/>
        </w:rPr>
        <w:t>***</w:t>
      </w:r>
      <w:r w:rsidRPr="00396BC7">
        <w:rPr>
          <w:rFonts w:ascii="Times New Roman" w:eastAsia="Times New Roman" w:hAnsi="Times New Roman" w:cs="Times New Roman"/>
          <w:sz w:val="28"/>
          <w:szCs w:val="28"/>
          <w:lang w:eastAsia="ru-RU"/>
        </w:rPr>
        <w:t xml:space="preserve"> </w:t>
      </w:r>
      <w:r w:rsidRPr="00396BC7">
        <w:rPr>
          <w:sz w:val="28"/>
          <w:szCs w:val="28"/>
        </w:rPr>
        <w:t>не явился, хотя о дне, времени и месте судебного заседания была уведомлена надлежащим образом судебной повесткой</w:t>
      </w:r>
      <w:r w:rsidRPr="00396BC7" w:rsidR="004E4512">
        <w:rPr>
          <w:sz w:val="28"/>
          <w:szCs w:val="28"/>
        </w:rPr>
        <w:t xml:space="preserve">, согласно </w:t>
      </w:r>
      <w:r w:rsidRPr="00396BC7" w:rsidR="004E4512">
        <w:rPr>
          <w:sz w:val="28"/>
          <w:szCs w:val="28"/>
        </w:rPr>
        <w:t>заявления  просил</w:t>
      </w:r>
      <w:r w:rsidRPr="00396BC7" w:rsidR="004E4512">
        <w:rPr>
          <w:sz w:val="28"/>
          <w:szCs w:val="28"/>
        </w:rPr>
        <w:t xml:space="preserve"> дело рассмотреть в его отсутствии и не лишать его права управления транспортными средствами, так как он работает водителем дальнобойщиком и в противном случае он и его семья останутся без источников дохода</w:t>
      </w:r>
      <w:r w:rsidRPr="00396BC7">
        <w:rPr>
          <w:sz w:val="28"/>
          <w:szCs w:val="28"/>
        </w:rPr>
        <w:t xml:space="preserve"> </w:t>
      </w:r>
    </w:p>
    <w:p w:rsidR="00EA210B" w:rsidRPr="00396BC7" w:rsidP="00EA210B">
      <w:pPr>
        <w:pStyle w:val="Textbody"/>
        <w:spacing w:line="240" w:lineRule="auto"/>
        <w:ind w:firstLine="425"/>
        <w:jc w:val="both"/>
        <w:rPr>
          <w:rFonts w:hint="eastAsia"/>
          <w:sz w:val="28"/>
          <w:szCs w:val="28"/>
        </w:rPr>
      </w:pPr>
      <w:r w:rsidRPr="00396BC7">
        <w:rPr>
          <w:sz w:val="28"/>
          <w:szCs w:val="28"/>
        </w:rPr>
        <w:t xml:space="preserve">          </w:t>
      </w:r>
      <w:r w:rsidRPr="00396BC7">
        <w:rPr>
          <w:sz w:val="28"/>
          <w:szCs w:val="28"/>
        </w:rPr>
        <w:t>В  соответствии</w:t>
      </w:r>
      <w:r w:rsidRPr="00396BC7">
        <w:rPr>
          <w:sz w:val="28"/>
          <w:szCs w:val="28"/>
        </w:rPr>
        <w:t xml:space="preserve">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в связи с тем, суд считает </w:t>
      </w:r>
      <w:r w:rsidRPr="00396BC7">
        <w:rPr>
          <w:sz w:val="28"/>
          <w:szCs w:val="28"/>
        </w:rPr>
        <w:t>возможным  рассмотреть</w:t>
      </w:r>
      <w:r w:rsidRPr="00396BC7">
        <w:rPr>
          <w:sz w:val="28"/>
          <w:szCs w:val="28"/>
        </w:rPr>
        <w:t xml:space="preserve">  дело в отсутствии  </w:t>
      </w:r>
      <w:r w:rsidR="002F426D">
        <w:rPr>
          <w:sz w:val="28"/>
          <w:szCs w:val="28"/>
        </w:rPr>
        <w:t>**</w:t>
      </w:r>
    </w:p>
    <w:p w:rsidR="00EA210B" w:rsidP="00EA210B">
      <w:pPr>
        <w:pStyle w:val="Standard"/>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Исследовав материалы дела, оценив представленные доказательства, суд приходит к следующему.</w:t>
      </w:r>
    </w:p>
    <w:p w:rsidR="00EA210B" w:rsidP="00EA210B">
      <w:pPr>
        <w:pStyle w:val="Standard"/>
        <w:ind w:right="-185" w:firstLine="540"/>
        <w:jc w:val="both"/>
        <w:rPr>
          <w:rFonts w:hint="eastAsia"/>
        </w:rPr>
      </w:pPr>
      <w:r>
        <w:rPr>
          <w:rFonts w:ascii="Times New Roman" w:eastAsia="Times New Roman" w:hAnsi="Times New Roman" w:cs="Times New Roman"/>
          <w:sz w:val="28"/>
          <w:szCs w:val="28"/>
          <w:lang w:eastAsia="ru-RU"/>
        </w:rPr>
        <w:t xml:space="preserve"> Из </w:t>
      </w:r>
      <w:r>
        <w:rPr>
          <w:rFonts w:ascii="Times New Roman" w:eastAsia="Times New Roman" w:hAnsi="Times New Roman" w:cs="Times New Roman"/>
          <w:sz w:val="28"/>
          <w:szCs w:val="28"/>
          <w:lang w:eastAsia="ru-RU"/>
        </w:rPr>
        <w:t>обозренного</w:t>
      </w:r>
      <w:r>
        <w:rPr>
          <w:rFonts w:ascii="Times New Roman" w:eastAsia="Times New Roman" w:hAnsi="Times New Roman" w:cs="Times New Roman"/>
          <w:sz w:val="28"/>
          <w:szCs w:val="28"/>
          <w:lang w:eastAsia="ru-RU"/>
        </w:rPr>
        <w:t xml:space="preserve"> в судебном заседании фотоснимка видно, </w:t>
      </w:r>
      <w:r>
        <w:rPr>
          <w:rFonts w:ascii="Times New Roman" w:eastAsia="Times New Roman" w:hAnsi="Times New Roman" w:cs="Times New Roman"/>
          <w:sz w:val="28"/>
          <w:szCs w:val="28"/>
          <w:lang w:eastAsia="ru-RU"/>
        </w:rPr>
        <w:t>что  на</w:t>
      </w:r>
      <w:r>
        <w:rPr>
          <w:rFonts w:ascii="Times New Roman" w:eastAsia="Times New Roman" w:hAnsi="Times New Roman" w:cs="Times New Roman"/>
          <w:sz w:val="28"/>
          <w:szCs w:val="28"/>
          <w:lang w:eastAsia="ru-RU"/>
        </w:rPr>
        <w:t xml:space="preserve"> нем изображен автомобиль </w:t>
      </w:r>
      <w:r w:rsidR="00711914">
        <w:rPr>
          <w:rFonts w:ascii="Times New Roman" w:eastAsia="Times New Roman" w:hAnsi="Times New Roman" w:cs="Times New Roman"/>
          <w:sz w:val="28"/>
          <w:szCs w:val="28"/>
          <w:lang w:eastAsia="ru-RU"/>
        </w:rPr>
        <w:t>МАN TGA</w:t>
      </w:r>
      <w:r>
        <w:rPr>
          <w:rFonts w:ascii="Times New Roman" w:eastAsia="Times New Roman" w:hAnsi="Times New Roman" w:cs="Times New Roman"/>
          <w:sz w:val="28"/>
          <w:szCs w:val="28"/>
          <w:lang w:eastAsia="ru-RU"/>
        </w:rPr>
        <w:t>,   на котором табличк</w:t>
      </w:r>
      <w:r w:rsidR="004E451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с государственными регистрационными знаками  сверху закрыт</w:t>
      </w:r>
      <w:r w:rsidR="004E451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устройств</w:t>
      </w:r>
      <w:r w:rsidR="004E451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м</w:t>
      </w:r>
      <w:r w:rsidR="004E4512">
        <w:rPr>
          <w:rFonts w:ascii="Times New Roman" w:eastAsia="Times New Roman" w:hAnsi="Times New Roman" w:cs="Times New Roman"/>
          <w:sz w:val="28"/>
          <w:szCs w:val="28"/>
          <w:lang w:eastAsia="ru-RU"/>
        </w:rPr>
        <w:t xml:space="preserve"> в виде пластины</w:t>
      </w:r>
      <w:r>
        <w:rPr>
          <w:rFonts w:ascii="Times New Roman" w:eastAsia="Times New Roman" w:hAnsi="Times New Roman" w:cs="Times New Roman"/>
          <w:sz w:val="28"/>
          <w:szCs w:val="28"/>
          <w:lang w:eastAsia="ru-RU"/>
        </w:rPr>
        <w:t xml:space="preserve">  и не обозреваются.</w:t>
      </w:r>
    </w:p>
    <w:p w:rsidR="00EA210B" w:rsidP="00EA210B">
      <w:pPr>
        <w:pStyle w:val="Standard"/>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 11. Постановления Правительства РФ от 23.10.1993 N 1090 (ред. от 30.07.2014) "Основных положений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w:t>
      </w:r>
      <w:r>
        <w:rPr>
          <w:rFonts w:ascii="Times New Roman" w:eastAsia="Times New Roman" w:hAnsi="Times New Roman" w:cs="Times New Roman"/>
          <w:sz w:val="28"/>
          <w:szCs w:val="28"/>
          <w:lang w:eastAsia="ru-RU"/>
        </w:rPr>
        <w:t>средств,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EA210B" w:rsidP="00EA210B">
      <w:pPr>
        <w:pStyle w:val="Standard"/>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 2 Постановления Правительства РФ от 23.10.1993 N 1090 (ред. от 30.07.2014) "Основных положений по допуску транспортных средств к эксплуатации» указано, что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EA210B" w:rsidP="00EA210B">
      <w:pPr>
        <w:pStyle w:val="Standard"/>
        <w:ind w:firstLine="539"/>
        <w:jc w:val="both"/>
        <w:rPr>
          <w:rFonts w:hint="eastAsia"/>
        </w:rPr>
      </w:pPr>
      <w:r>
        <w:rPr>
          <w:rFonts w:ascii="Times New Roman" w:eastAsia="Times New Roman" w:hAnsi="Times New Roman" w:cs="Times New Roman"/>
          <w:sz w:val="28"/>
          <w:szCs w:val="28"/>
          <w:lang w:eastAsia="ru-RU"/>
        </w:rPr>
        <w:t xml:space="preserve">Пункт 11 вышеуказанного Постановления,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w:t>
      </w:r>
      <w:hyperlink r:id="rId4" w:history="1">
        <w:r>
          <w:rPr>
            <w:rFonts w:ascii="Times New Roman" w:eastAsia="Times New Roman" w:hAnsi="Times New Roman" w:cs="Times New Roman"/>
            <w:sz w:val="28"/>
            <w:szCs w:val="28"/>
            <w:lang w:eastAsia="ru-RU"/>
          </w:rPr>
          <w:t>Перечня</w:t>
        </w:r>
      </w:hyperlink>
      <w:r>
        <w:rPr>
          <w:rFonts w:ascii="Times New Roman" w:eastAsia="Times New Roman" w:hAnsi="Times New Roman" w:cs="Times New Roman"/>
          <w:sz w:val="28"/>
          <w:szCs w:val="28"/>
          <w:lang w:eastAsia="ru-RU"/>
        </w:rPr>
        <w:t xml:space="preserve"> неисправностей и условий, при которых запрещается эксплуатация транспортных средств (согласно приложению), а именно Государственный регистрационный знак транспортного средства или способ его установки не отвечает </w:t>
      </w:r>
      <w:hyperlink r:id="rId5" w:history="1">
        <w:r>
          <w:rPr>
            <w:rFonts w:ascii="Times New Roman" w:eastAsia="Times New Roman" w:hAnsi="Times New Roman" w:cs="Times New Roman"/>
            <w:sz w:val="28"/>
            <w:szCs w:val="28"/>
            <w:lang w:eastAsia="ru-RU"/>
          </w:rPr>
          <w:t>ГОСТу Р 50577-2018</w:t>
        </w:r>
      </w:hyperlink>
      <w:r>
        <w:rPr>
          <w:rFonts w:ascii="Times New Roman" w:eastAsia="Times New Roman" w:hAnsi="Times New Roman" w:cs="Times New Roman"/>
          <w:sz w:val="28"/>
          <w:szCs w:val="28"/>
          <w:lang w:eastAsia="ru-RU"/>
        </w:rPr>
        <w:t>.</w:t>
      </w:r>
    </w:p>
    <w:p w:rsidR="00EA210B" w:rsidP="00EA210B">
      <w:pPr>
        <w:suppressAutoHyphens w:val="0"/>
        <w:autoSpaceDE w:val="0"/>
        <w:ind w:firstLine="539"/>
        <w:jc w:val="both"/>
        <w:textAlignment w:val="auto"/>
        <w:rPr>
          <w:rFonts w:hint="eastAsia"/>
        </w:rPr>
      </w:pPr>
      <w:r>
        <w:rPr>
          <w:rFonts w:ascii="Times New Roman" w:hAnsi="Times New Roman" w:cs="Times New Roman"/>
          <w:sz w:val="28"/>
          <w:szCs w:val="28"/>
        </w:rPr>
        <w:t>Согласно правовой позиции, выраженной в пункте 4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w:t>
      </w:r>
      <w:r>
        <w:rPr>
          <w:rFonts w:ascii="Times New Roman" w:eastAsia="Times New Roman" w:hAnsi="Times New Roman" w:cs="Times New Roman"/>
          <w:sz w:val="28"/>
          <w:szCs w:val="28"/>
          <w:lang w:eastAsia="ru-RU"/>
        </w:rPr>
        <w:t xml:space="preserve">ри рассмотрении дел об административных правонарушениях, предусмотренных </w:t>
      </w:r>
      <w:hyperlink r:id="rId6" w:history="1">
        <w:r>
          <w:rPr>
            <w:rFonts w:ascii="Times New Roman" w:eastAsia="Times New Roman" w:hAnsi="Times New Roman" w:cs="Times New Roman"/>
            <w:sz w:val="28"/>
            <w:szCs w:val="28"/>
            <w:lang w:eastAsia="ru-RU"/>
          </w:rPr>
          <w:t>частью 2 статьи 12.2</w:t>
        </w:r>
      </w:hyperlink>
      <w:r>
        <w:rPr>
          <w:rFonts w:ascii="Times New Roman" w:eastAsia="Times New Roman" w:hAnsi="Times New Roman" w:cs="Times New Roman"/>
          <w:sz w:val="28"/>
          <w:szCs w:val="28"/>
          <w:lang w:eastAsia="ru-RU"/>
        </w:rP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w:t>
      </w:r>
      <w:r>
        <w:rPr>
          <w:rFonts w:ascii="Times New Roman" w:hAnsi="Times New Roman" w:cs="Times New Roman"/>
          <w:kern w:val="0"/>
          <w:sz w:val="28"/>
          <w:szCs w:val="28"/>
          <w:lang w:bidi="ar-SA"/>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EA210B" w:rsidP="00EA210B">
      <w:pPr>
        <w:suppressAutoHyphens w:val="0"/>
        <w:autoSpaceDE w:val="0"/>
        <w:ind w:firstLine="540"/>
        <w:jc w:val="both"/>
        <w:textAlignment w:val="auto"/>
        <w:rPr>
          <w:rFonts w:hint="eastAsia"/>
        </w:rPr>
      </w:pPr>
      <w:r>
        <w:rPr>
          <w:rFonts w:ascii="Times New Roman" w:eastAsia="Times New Roman" w:hAnsi="Times New Roman" w:cs="Times New Roman"/>
          <w:sz w:val="28"/>
          <w:szCs w:val="28"/>
          <w:lang w:eastAsia="ru-RU"/>
        </w:rPr>
        <w:t xml:space="preserve"> </w:t>
      </w:r>
      <w:r>
        <w:rPr>
          <w:rFonts w:ascii="Times New Roman" w:hAnsi="Times New Roman" w:cs="Times New Roman"/>
          <w:kern w:val="0"/>
          <w:sz w:val="28"/>
          <w:szCs w:val="28"/>
          <w:lang w:bidi="ar-SA"/>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Pr>
          <w:rFonts w:ascii="Times New Roman" w:hAnsi="Times New Roman" w:cs="Times New Roman"/>
          <w:kern w:val="0"/>
          <w:sz w:val="28"/>
          <w:szCs w:val="28"/>
          <w:lang w:bidi="ar-SA"/>
        </w:rPr>
        <w:t>самозагрязнение</w:t>
      </w:r>
      <w:r>
        <w:rPr>
          <w:rFonts w:ascii="Times New Roman" w:hAnsi="Times New Roman" w:cs="Times New Roman"/>
          <w:kern w:val="0"/>
          <w:sz w:val="28"/>
          <w:szCs w:val="28"/>
          <w:lang w:bidi="ar-SA"/>
        </w:rPr>
        <w:t xml:space="preserve">).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7" w:history="1">
        <w:r>
          <w:rPr>
            <w:rFonts w:ascii="Times New Roman" w:hAnsi="Times New Roman" w:cs="Times New Roman"/>
            <w:color w:val="0000FF"/>
            <w:kern w:val="0"/>
            <w:sz w:val="28"/>
            <w:szCs w:val="28"/>
            <w:lang w:bidi="ar-SA"/>
          </w:rPr>
          <w:t>статьи 26.11</w:t>
        </w:r>
      </w:hyperlink>
      <w:r>
        <w:rPr>
          <w:rFonts w:ascii="Times New Roman" w:hAnsi="Times New Roman" w:cs="Times New Roman"/>
          <w:kern w:val="0"/>
          <w:sz w:val="28"/>
          <w:szCs w:val="28"/>
          <w:lang w:bidi="ar-SA"/>
        </w:rPr>
        <w:t xml:space="preserve"> КоАП РФ.</w:t>
      </w:r>
    </w:p>
    <w:p w:rsidR="00EA210B" w:rsidP="00EA210B">
      <w:pPr>
        <w:pStyle w:val="Standard"/>
        <w:spacing w:after="1" w:line="240" w:lineRule="atLeast"/>
        <w:ind w:firstLine="540"/>
        <w:jc w:val="both"/>
        <w:rPr>
          <w:rFonts w:hint="eastAsia"/>
        </w:rPr>
      </w:pPr>
      <w:r>
        <w:rPr>
          <w:rFonts w:ascii="Times New Roman" w:eastAsia="Times New Roman" w:hAnsi="Times New Roman" w:cs="Times New Roman"/>
          <w:sz w:val="28"/>
          <w:szCs w:val="28"/>
          <w:lang w:eastAsia="ru-RU"/>
        </w:rPr>
        <w:t xml:space="preserve"> Таким образом, мировой судья, исследовав протокол об административном правонарушении от </w:t>
      </w:r>
      <w:r w:rsidR="00711914">
        <w:rPr>
          <w:rFonts w:ascii="Times New Roman" w:eastAsia="Times New Roman" w:hAnsi="Times New Roman" w:cs="Times New Roman"/>
          <w:sz w:val="28"/>
          <w:szCs w:val="28"/>
          <w:lang w:eastAsia="ru-RU"/>
        </w:rPr>
        <w:t>16 апреля 2024</w:t>
      </w:r>
      <w:r>
        <w:rPr>
          <w:rFonts w:ascii="Times New Roman" w:eastAsia="Times New Roman" w:hAnsi="Times New Roman" w:cs="Times New Roman"/>
          <w:sz w:val="28"/>
          <w:szCs w:val="28"/>
          <w:lang w:eastAsia="ru-RU"/>
        </w:rPr>
        <w:t xml:space="preserve"> г.,  фотоснимок автомобиля,  оценивая которые в соответствии со ст. 26.11 КоАП РФ и признавая их допустимыми доказательствами на основании ст. 26.2 КоАП РФ,  установил, что </w:t>
      </w:r>
      <w:r w:rsidR="00711914">
        <w:rPr>
          <w:rFonts w:ascii="Times New Roman" w:eastAsia="Times New Roman" w:hAnsi="Times New Roman" w:cs="Times New Roman"/>
          <w:sz w:val="28"/>
          <w:szCs w:val="28"/>
          <w:lang w:eastAsia="ru-RU"/>
        </w:rPr>
        <w:t>Захарченко А.В</w:t>
      </w:r>
      <w:r>
        <w:rPr>
          <w:rFonts w:ascii="Times New Roman" w:eastAsia="Times New Roman" w:hAnsi="Times New Roman" w:cs="Times New Roman"/>
          <w:sz w:val="28"/>
          <w:szCs w:val="28"/>
          <w:lang w:eastAsia="ru-RU"/>
        </w:rPr>
        <w:t xml:space="preserve">., </w:t>
      </w:r>
      <w:r w:rsidR="00711914">
        <w:rPr>
          <w:rFonts w:ascii="Times New Roman" w:eastAsia="Times New Roman" w:hAnsi="Times New Roman" w:cs="Times New Roman"/>
          <w:sz w:val="28"/>
          <w:szCs w:val="28"/>
          <w:lang w:eastAsia="ru-RU"/>
        </w:rPr>
        <w:t>16 апреля 2024</w:t>
      </w:r>
      <w:r>
        <w:rPr>
          <w:rFonts w:ascii="Times New Roman" w:eastAsia="Times New Roman" w:hAnsi="Times New Roman" w:cs="Times New Roman"/>
          <w:sz w:val="28"/>
          <w:szCs w:val="28"/>
          <w:lang w:eastAsia="ru-RU"/>
        </w:rPr>
        <w:t xml:space="preserve"> года </w:t>
      </w:r>
      <w:r w:rsidR="00711914">
        <w:rPr>
          <w:rFonts w:ascii="Times New Roman" w:eastAsia="Times New Roman" w:hAnsi="Times New Roman" w:cs="Times New Roman"/>
          <w:sz w:val="28"/>
          <w:szCs w:val="28"/>
          <w:lang w:eastAsia="ru-RU"/>
        </w:rPr>
        <w:t>23 часа 05</w:t>
      </w:r>
      <w:r>
        <w:rPr>
          <w:rFonts w:ascii="Times New Roman" w:eastAsia="Times New Roman" w:hAnsi="Times New Roman" w:cs="Times New Roman"/>
          <w:sz w:val="28"/>
          <w:szCs w:val="28"/>
          <w:lang w:eastAsia="ru-RU"/>
        </w:rPr>
        <w:t xml:space="preserve"> минут на </w:t>
      </w:r>
      <w:r w:rsidR="00711914">
        <w:rPr>
          <w:rFonts w:ascii="Times New Roman" w:eastAsia="Times New Roman" w:hAnsi="Times New Roman" w:cs="Times New Roman"/>
          <w:sz w:val="28"/>
          <w:szCs w:val="28"/>
          <w:lang w:eastAsia="ru-RU"/>
        </w:rPr>
        <w:t>330км+950м</w:t>
      </w:r>
      <w:r>
        <w:rPr>
          <w:rFonts w:ascii="Times New Roman" w:eastAsia="Times New Roman" w:hAnsi="Times New Roman" w:cs="Times New Roman"/>
          <w:sz w:val="28"/>
          <w:szCs w:val="28"/>
          <w:lang w:eastAsia="ru-RU"/>
        </w:rPr>
        <w:t xml:space="preserve"> </w:t>
      </w:r>
      <w:r w:rsidR="004E4512">
        <w:rPr>
          <w:rFonts w:ascii="Times New Roman" w:eastAsia="Times New Roman" w:hAnsi="Times New Roman" w:cs="Times New Roman"/>
          <w:sz w:val="28"/>
          <w:szCs w:val="28"/>
          <w:lang w:eastAsia="ru-RU"/>
        </w:rPr>
        <w:t>ФАД К</w:t>
      </w:r>
      <w:r w:rsidR="00711914">
        <w:rPr>
          <w:rFonts w:ascii="Times New Roman" w:eastAsia="Times New Roman" w:hAnsi="Times New Roman" w:cs="Times New Roman"/>
          <w:sz w:val="28"/>
          <w:szCs w:val="28"/>
          <w:lang w:eastAsia="ru-RU"/>
        </w:rPr>
        <w:t>авказ М4 Дон Р-217</w:t>
      </w:r>
      <w:r>
        <w:rPr>
          <w:rFonts w:ascii="Times New Roman" w:eastAsia="Times New Roman" w:hAnsi="Times New Roman" w:cs="Times New Roman"/>
          <w:sz w:val="28"/>
          <w:szCs w:val="28"/>
          <w:lang w:eastAsia="ru-RU"/>
        </w:rPr>
        <w:t xml:space="preserve">, управлял  транспортным средством автомобилем </w:t>
      </w:r>
      <w:r w:rsidR="00711914">
        <w:rPr>
          <w:rFonts w:ascii="Times New Roman" w:eastAsia="Times New Roman" w:hAnsi="Times New Roman" w:cs="Times New Roman"/>
          <w:sz w:val="28"/>
          <w:szCs w:val="28"/>
          <w:lang w:eastAsia="ru-RU"/>
        </w:rPr>
        <w:t>МАN TGA</w:t>
      </w:r>
      <w:r>
        <w:rPr>
          <w:rFonts w:ascii="Times New Roman" w:eastAsia="Times New Roman" w:hAnsi="Times New Roman" w:cs="Times New Roman"/>
          <w:sz w:val="28"/>
          <w:szCs w:val="28"/>
          <w:lang w:eastAsia="ru-RU"/>
        </w:rPr>
        <w:t xml:space="preserve"> государственный знак </w:t>
      </w:r>
      <w:r w:rsidR="004E4512">
        <w:rPr>
          <w:rFonts w:ascii="Times New Roman" w:eastAsia="Times New Roman" w:hAnsi="Times New Roman" w:cs="Times New Roman"/>
          <w:sz w:val="28"/>
          <w:szCs w:val="28"/>
          <w:lang w:eastAsia="ru-RU"/>
        </w:rPr>
        <w:t>Х456УР123</w:t>
      </w:r>
      <w:r>
        <w:rPr>
          <w:rFonts w:ascii="Times New Roman" w:eastAsia="Times New Roman" w:hAnsi="Times New Roman" w:cs="Times New Roman"/>
          <w:sz w:val="28"/>
          <w:szCs w:val="28"/>
          <w:lang w:eastAsia="ru-RU"/>
        </w:rPr>
        <w:t xml:space="preserve">  при этом  государственные регистрационные знаки были оборудованы с применением механизма, который препятствует их идентификации, нарушив </w:t>
      </w:r>
      <w:r>
        <w:rPr>
          <w:rFonts w:ascii="Times New Roman" w:eastAsia="Times New Roman" w:hAnsi="Times New Roman" w:cs="Times New Roman"/>
          <w:sz w:val="28"/>
          <w:szCs w:val="28"/>
          <w:lang w:eastAsia="ru-RU"/>
        </w:rPr>
        <w:t>п.п</w:t>
      </w:r>
      <w:r>
        <w:rPr>
          <w:rFonts w:ascii="Times New Roman" w:eastAsia="Times New Roman" w:hAnsi="Times New Roman" w:cs="Times New Roman"/>
          <w:sz w:val="28"/>
          <w:szCs w:val="28"/>
          <w:lang w:eastAsia="ru-RU"/>
        </w:rPr>
        <w:t xml:space="preserve">. 2, 11 Постановления Правительства РФ от 23.10.1993 N 1090 (ред. от 30.07.2014) "Основных положений по допуску транспортных средств к эксплуатации и обязанности должностных лиц по обеспечению безопасности дорожного движения», т.е. </w:t>
      </w:r>
      <w:r w:rsidR="00711914">
        <w:rPr>
          <w:rFonts w:ascii="Times New Roman" w:eastAsia="Times New Roman" w:hAnsi="Times New Roman" w:cs="Times New Roman"/>
          <w:sz w:val="28"/>
          <w:szCs w:val="28"/>
          <w:lang w:eastAsia="ru-RU"/>
        </w:rPr>
        <w:t>Захарченко А.В</w:t>
      </w:r>
      <w:r>
        <w:rPr>
          <w:rFonts w:ascii="Times New Roman" w:eastAsia="Times New Roman" w:hAnsi="Times New Roman" w:cs="Times New Roman"/>
          <w:sz w:val="28"/>
          <w:szCs w:val="28"/>
          <w:lang w:eastAsia="ru-RU"/>
        </w:rPr>
        <w:t>. совершил административное правонарушение, предусмотренное ч. 2 ст. 12.2 КоАП РФ – управление транспортным средством с государственными регистрационными знаками, оборудованными с применением материалов, препятствующих их идентификации.</w:t>
      </w:r>
    </w:p>
    <w:p w:rsidR="00EA210B" w:rsidP="00EA210B">
      <w:pPr>
        <w:pStyle w:val="Standard"/>
        <w:ind w:right="-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Обстоятельств, смягчающих административную ответственность </w:t>
      </w:r>
      <w:r w:rsidR="002F426D">
        <w:rPr>
          <w:rFonts w:ascii="Times New Roman" w:eastAsia="Times New Roman" w:hAnsi="Times New Roman" w:cs="Times New Roman"/>
          <w:sz w:val="28"/>
          <w:szCs w:val="28"/>
          <w:lang w:eastAsia="ru-RU"/>
        </w:rPr>
        <w:t>*</w:t>
      </w:r>
      <w:r w:rsidR="004E4512">
        <w:rPr>
          <w:rFonts w:ascii="Times New Roman" w:eastAsia="Times New Roman" w:hAnsi="Times New Roman" w:cs="Times New Roman"/>
          <w:sz w:val="28"/>
          <w:szCs w:val="28"/>
          <w:lang w:eastAsia="ru-RU"/>
        </w:rPr>
        <w:t>. не имеется</w:t>
      </w:r>
      <w:r>
        <w:rPr>
          <w:rFonts w:ascii="Times New Roman" w:eastAsia="Times New Roman" w:hAnsi="Times New Roman" w:cs="Times New Roman"/>
          <w:sz w:val="28"/>
          <w:szCs w:val="28"/>
          <w:lang w:eastAsia="ru-RU"/>
        </w:rPr>
        <w:t>.</w:t>
      </w:r>
    </w:p>
    <w:p w:rsidR="00EA210B" w:rsidP="00EA210B">
      <w:pPr>
        <w:pStyle w:val="Standard"/>
        <w:ind w:right="-5" w:firstLine="708"/>
        <w:jc w:val="both"/>
        <w:rPr>
          <w:rFonts w:hint="eastAsia"/>
        </w:rPr>
      </w:pPr>
      <w:r>
        <w:rPr>
          <w:rFonts w:ascii="Times New Roman" w:eastAsia="Times New Roman" w:hAnsi="Times New Roman" w:cs="Times New Roman"/>
          <w:sz w:val="28"/>
          <w:szCs w:val="28"/>
          <w:lang w:eastAsia="ru-RU"/>
        </w:rPr>
        <w:t xml:space="preserve">Обстоятельством, отягчающим административную ответственность </w:t>
      </w:r>
      <w:r w:rsidR="002F42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является повторное совершение однородного правонарушения, так как он </w:t>
      </w:r>
      <w:r>
        <w:rPr>
          <w:rFonts w:ascii="Times New Roman" w:eastAsia="Times New Roman" w:hAnsi="Times New Roman" w:cs="Times New Roman"/>
          <w:sz w:val="28"/>
          <w:szCs w:val="28"/>
          <w:lang w:eastAsia="ru-RU"/>
        </w:rPr>
        <w:t>ранее  привлекался</w:t>
      </w:r>
      <w:r>
        <w:rPr>
          <w:rFonts w:ascii="Times New Roman" w:eastAsia="Times New Roman" w:hAnsi="Times New Roman" w:cs="Times New Roman"/>
          <w:sz w:val="28"/>
          <w:szCs w:val="28"/>
          <w:lang w:eastAsia="ru-RU"/>
        </w:rPr>
        <w:t xml:space="preserve"> к административной ответственности </w:t>
      </w:r>
      <w:r w:rsidR="004E4512">
        <w:rPr>
          <w:rFonts w:ascii="Times New Roman" w:eastAsia="Times New Roman" w:hAnsi="Times New Roman" w:cs="Times New Roman"/>
          <w:sz w:val="28"/>
          <w:szCs w:val="28"/>
          <w:lang w:eastAsia="ru-RU"/>
        </w:rPr>
        <w:t>по ст. 12.6 КоАП РФ 12 февраля 2024 года, 16 сентября 2023 года, по ч.3 ст. 12.23 КоАП РФ 6 февраля 2024 года,  по ст. 12.18 КоАП РФ 19 января 2024 года, по ч.1 ст. 12.2 КоАП РФ 27 октября 2023 года, 24 июня 2023 года, по ч.1 ст. 12.5 КоАП РФ 30 июня 2023 года,  по ст. 12.20 КоАП РФ 30 июня 2023 года</w:t>
      </w:r>
      <w:r>
        <w:rPr>
          <w:rFonts w:ascii="Times New Roman" w:eastAsia="Times New Roman" w:hAnsi="Times New Roman" w:cs="Times New Roman"/>
          <w:sz w:val="28"/>
          <w:szCs w:val="28"/>
          <w:lang w:eastAsia="ru-RU"/>
        </w:rPr>
        <w:t>.</w:t>
      </w:r>
    </w:p>
    <w:p w:rsidR="00EA210B" w:rsidP="00EA210B">
      <w:pPr>
        <w:pStyle w:val="Standard"/>
        <w:ind w:right="-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учетом обстоятельств дела, учитывая степень и характер совершенного правонарушения, личности правонарушителя, отсутствие обстоятельств, смягчающих административную ответственность и несмотря на наличие обстоятельств, отягчающего административную ответственность, учитывая характер ранее совершенного  правонарушения, мировой судья приходит к выводу о назначении  </w:t>
      </w:r>
      <w:r w:rsidR="002F42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наказания в виде   административного штрафа в пределах санкции данной статьи, считая чрезмерно строгим назначение наказания в виде лишения права управления транспортными средствами.</w:t>
      </w:r>
    </w:p>
    <w:p w:rsidR="00EA210B" w:rsidP="00EA210B">
      <w:pPr>
        <w:pStyle w:val="Standard"/>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Руководствуясь ч.2 ст. 12.2,   ст. 29.10 КоАП РФ мировой судья,</w:t>
      </w:r>
    </w:p>
    <w:p w:rsidR="00EA210B" w:rsidP="00EA210B">
      <w:pPr>
        <w:pStyle w:val="Standard"/>
        <w:jc w:val="both"/>
        <w:rPr>
          <w:rFonts w:ascii="Times New Roman" w:eastAsia="Times New Roman" w:hAnsi="Times New Roman" w:cs="Times New Roman"/>
          <w:sz w:val="28"/>
          <w:szCs w:val="28"/>
          <w:lang w:eastAsia="ru-RU"/>
        </w:rPr>
      </w:pPr>
    </w:p>
    <w:p w:rsidR="00EA210B" w:rsidP="00EA210B">
      <w:pPr>
        <w:pStyle w:val="Standard"/>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 О С Т А Н О В И </w:t>
      </w:r>
      <w:r>
        <w:rPr>
          <w:rFonts w:ascii="Times New Roman" w:eastAsia="Times New Roman" w:hAnsi="Times New Roman" w:cs="Times New Roman"/>
          <w:b/>
          <w:bCs/>
          <w:sz w:val="28"/>
          <w:szCs w:val="28"/>
          <w:lang w:eastAsia="ru-RU"/>
        </w:rPr>
        <w:t>Л :</w:t>
      </w:r>
    </w:p>
    <w:p w:rsidR="00EA210B" w:rsidP="00EA210B">
      <w:pPr>
        <w:pStyle w:val="Standard"/>
        <w:jc w:val="center"/>
        <w:rPr>
          <w:rFonts w:ascii="Times New Roman" w:eastAsia="Times New Roman" w:hAnsi="Times New Roman" w:cs="Times New Roman"/>
          <w:b/>
          <w:bCs/>
          <w:sz w:val="28"/>
          <w:szCs w:val="28"/>
          <w:lang w:eastAsia="ru-RU"/>
        </w:rPr>
      </w:pPr>
    </w:p>
    <w:tbl>
      <w:tblPr>
        <w:tblW w:w="5000" w:type="pct"/>
        <w:tblLayout w:type="fixed"/>
        <w:tblCellMar>
          <w:left w:w="10" w:type="dxa"/>
          <w:right w:w="10" w:type="dxa"/>
        </w:tblCellMar>
        <w:tblLook w:val="0000"/>
      </w:tblPr>
      <w:tblGrid>
        <w:gridCol w:w="9638"/>
      </w:tblGrid>
      <w:tr w:rsidTr="007A72F7">
        <w:tblPrEx>
          <w:tblW w:w="5000" w:type="pct"/>
          <w:tblLayout w:type="fixed"/>
          <w:tblCellMar>
            <w:left w:w="10" w:type="dxa"/>
            <w:right w:w="10" w:type="dxa"/>
          </w:tblCellMar>
          <w:tblLook w:val="0000"/>
        </w:tblPrEx>
        <w:tc>
          <w:tcPr>
            <w:tcW w:w="9638" w:type="dxa"/>
            <w:shd w:val="clear" w:color="auto" w:fill="auto"/>
            <w:tcMar>
              <w:top w:w="0" w:type="dxa"/>
              <w:left w:w="0" w:type="dxa"/>
              <w:bottom w:w="0" w:type="dxa"/>
              <w:right w:w="0" w:type="dxa"/>
            </w:tcMar>
            <w:vAlign w:val="center"/>
          </w:tcPr>
          <w:p w:rsidR="00EA210B" w:rsidP="007A72F7">
            <w:pPr>
              <w:pStyle w:val="Standard"/>
              <w:ind w:firstLine="708"/>
              <w:jc w:val="both"/>
              <w:rPr>
                <w:rFonts w:hint="eastAsia"/>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ч.2 ст. 12.2 КоАП </w:t>
            </w:r>
            <w:r>
              <w:rPr>
                <w:rFonts w:ascii="Times New Roman" w:eastAsia="Times New Roman" w:hAnsi="Times New Roman" w:cs="Times New Roman"/>
                <w:sz w:val="28"/>
                <w:szCs w:val="28"/>
                <w:lang w:eastAsia="ru-RU"/>
              </w:rPr>
              <w:t>РФ  и</w:t>
            </w:r>
            <w:r>
              <w:rPr>
                <w:rFonts w:ascii="Times New Roman" w:eastAsia="Times New Roman" w:hAnsi="Times New Roman" w:cs="Times New Roman"/>
                <w:sz w:val="28"/>
                <w:szCs w:val="28"/>
                <w:lang w:eastAsia="ru-RU"/>
              </w:rPr>
              <w:t xml:space="preserve"> подвергнуть административному штрафу в размере  5000 (пяти тысяч) рублей, с зачислением суммы на номер счета получателя платежа 031006430000012100, в отделение банка Ставрополь Банка России, УФК по Ставропольскому краю</w:t>
            </w:r>
            <w:r w:rsidR="00396BC7">
              <w:rPr>
                <w:rFonts w:ascii="Times New Roman" w:eastAsia="Times New Roman" w:hAnsi="Times New Roman" w:cs="Times New Roman"/>
                <w:sz w:val="28"/>
                <w:szCs w:val="28"/>
                <w:lang w:eastAsia="ru-RU"/>
              </w:rPr>
              <w:t xml:space="preserve"> (ГУ МВД России по Ставропольскому краю)</w:t>
            </w:r>
            <w:r>
              <w:rPr>
                <w:rFonts w:ascii="Times New Roman" w:eastAsia="Times New Roman" w:hAnsi="Times New Roman" w:cs="Times New Roman"/>
                <w:sz w:val="28"/>
                <w:szCs w:val="28"/>
                <w:lang w:eastAsia="ru-RU"/>
              </w:rPr>
              <w:t>,   БИК – 010702101, КБК – 18811601123010001140, ОКТМО – 0771</w:t>
            </w:r>
            <w:r w:rsidR="00396BC7">
              <w:rPr>
                <w:rFonts w:ascii="Times New Roman" w:eastAsia="Times New Roman" w:hAnsi="Times New Roman" w:cs="Times New Roman"/>
                <w:sz w:val="28"/>
                <w:szCs w:val="28"/>
                <w:lang w:eastAsia="ru-RU"/>
              </w:rPr>
              <w:t>0000, ИНН – 2634050372</w:t>
            </w:r>
            <w:r>
              <w:rPr>
                <w:rFonts w:ascii="Times New Roman" w:eastAsia="Times New Roman" w:hAnsi="Times New Roman" w:cs="Times New Roman"/>
                <w:sz w:val="28"/>
                <w:szCs w:val="28"/>
                <w:lang w:eastAsia="ru-RU"/>
              </w:rPr>
              <w:t>, КПП – 26</w:t>
            </w:r>
            <w:r w:rsidR="00396BC7">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01001, УИН 188104</w:t>
            </w:r>
            <w:r w:rsidR="00396BC7">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2</w:t>
            </w:r>
            <w:r w:rsidR="00396BC7">
              <w:rPr>
                <w:rFonts w:ascii="Times New Roman" w:eastAsia="Times New Roman" w:hAnsi="Times New Roman" w:cs="Times New Roman"/>
                <w:sz w:val="28"/>
                <w:szCs w:val="28"/>
                <w:lang w:eastAsia="ru-RU"/>
              </w:rPr>
              <w:t>4420</w:t>
            </w:r>
            <w:r>
              <w:rPr>
                <w:rFonts w:ascii="Times New Roman" w:eastAsia="Times New Roman" w:hAnsi="Times New Roman" w:cs="Times New Roman"/>
                <w:sz w:val="28"/>
                <w:szCs w:val="28"/>
                <w:lang w:eastAsia="ru-RU"/>
              </w:rPr>
              <w:t>000</w:t>
            </w:r>
            <w:r w:rsidR="00396BC7">
              <w:rPr>
                <w:rFonts w:ascii="Times New Roman" w:eastAsia="Times New Roman" w:hAnsi="Times New Roman" w:cs="Times New Roman"/>
                <w:sz w:val="28"/>
                <w:szCs w:val="28"/>
                <w:lang w:eastAsia="ru-RU"/>
              </w:rPr>
              <w:t>3602</w:t>
            </w:r>
            <w:r>
              <w:rPr>
                <w:rFonts w:ascii="Times New Roman" w:eastAsia="Times New Roman" w:hAnsi="Times New Roman" w:cs="Times New Roman"/>
                <w:sz w:val="28"/>
                <w:szCs w:val="28"/>
                <w:lang w:eastAsia="ru-RU"/>
              </w:rPr>
              <w:t>.</w:t>
            </w:r>
          </w:p>
          <w:p w:rsidR="00EA210B" w:rsidP="002F426D">
            <w:pPr>
              <w:pStyle w:val="Standard"/>
              <w:jc w:val="both"/>
              <w:rPr>
                <w:rFonts w:hint="eastAsia"/>
              </w:rPr>
            </w:pPr>
            <w:r>
              <w:rPr>
                <w:noProof/>
                <w:lang w:eastAsia="ru-RU" w:bidi="ar-SA"/>
              </w:rPr>
              <mc:AlternateContent>
                <mc:Choice Requires="wps">
                  <w:drawing>
                    <wp:anchor distT="0" distB="0" distL="114300" distR="114300" simplePos="0" relativeHeight="251658240" behindDoc="0" locked="0" layoutInCell="1" allowOverlap="1">
                      <wp:simplePos x="0" y="0"/>
                      <wp:positionH relativeFrom="margin">
                        <wp:posOffset>-1142277</wp:posOffset>
                      </wp:positionH>
                      <wp:positionV relativeFrom="paragraph">
                        <wp:posOffset>3045957</wp:posOffset>
                      </wp:positionV>
                      <wp:extent cx="0" cy="3543940"/>
                      <wp:effectExtent l="0" t="0" r="19050" b="37460"/>
                      <wp:wrapNone/>
                      <wp:docPr id="1" name="Прямая соединительная линия 1"/>
                      <wp:cNvGraphicFramePr/>
                      <a:graphic xmlns:a="http://schemas.openxmlformats.org/drawingml/2006/main">
                        <a:graphicData uri="http://schemas.microsoft.com/office/word/2010/wordprocessingShape">
                          <wps:wsp xmlns:wps="http://schemas.microsoft.com/office/word/2010/wordprocessingShape">
                            <wps:cNvCnPr/>
                            <wps:spPr>
                              <a:xfrm>
                                <a:off x="0" y="0"/>
                                <a:ext cx="0" cy="3543940"/>
                              </a:xfrm>
                              <a:prstGeom prst="straightConnector1">
                                <a:avLst/>
                              </a:prstGeom>
                              <a:noFill/>
                              <a:ln w="18361">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Прямая соединительная линия 1" o:spid="_x0000_s1025" type="#_x0000_t32" style="width:0;height:279.05pt;margin-top:239.85pt;margin-left:-89.95pt;mso-position-horizontal-relative:margin;mso-wrap-distance-bottom:0;mso-wrap-distance-left:9pt;mso-wrap-distance-right:9pt;mso-wrap-distance-top:0;mso-wrap-style:square;position:absolute;visibility:visible;z-index:251659264" strokeweight="1.45pt">
                      <w10:wrap anchorx="margin"/>
                    </v:shape>
                  </w:pict>
                </mc:Fallback>
              </mc:AlternateContent>
            </w:r>
            <w:r>
              <w:rPr>
                <w:rFonts w:ascii="Times New Roman" w:eastAsia="Times New Roman" w:hAnsi="Times New Roman" w:cs="Times New Roman"/>
                <w:sz w:val="28"/>
                <w:szCs w:val="28"/>
                <w:lang w:eastAsia="ru-RU"/>
              </w:rPr>
              <w:t xml:space="preserve">           Разъяснить </w:t>
            </w:r>
            <w:r w:rsidR="002F42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в соответствии с положениями п.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8" w:history="1">
              <w:r>
                <w:rPr>
                  <w:rFonts w:ascii="Times New Roman" w:eastAsia="Times New Roman" w:hAnsi="Times New Roman" w:cs="Times New Roman"/>
                  <w:sz w:val="28"/>
                  <w:szCs w:val="28"/>
                  <w:lang w:eastAsia="ru-RU"/>
                </w:rPr>
                <w:t>главой 12</w:t>
              </w:r>
            </w:hyperlink>
            <w:r>
              <w:rPr>
                <w:rFonts w:ascii="Times New Roman" w:eastAsia="Times New Roman" w:hAnsi="Times New Roman" w:cs="Times New Roman"/>
                <w:sz w:val="28"/>
                <w:szCs w:val="28"/>
                <w:lang w:eastAsia="ru-RU"/>
              </w:rPr>
              <w:t xml:space="preserve"> настоящего Кодекса, за исключением административных правонарушений, предусмотренных </w:t>
            </w:r>
            <w:hyperlink r:id="rId9" w:history="1">
              <w:r>
                <w:rPr>
                  <w:rFonts w:ascii="Times New Roman" w:eastAsia="Times New Roman" w:hAnsi="Times New Roman" w:cs="Times New Roman"/>
                  <w:sz w:val="28"/>
                  <w:szCs w:val="28"/>
                  <w:lang w:eastAsia="ru-RU"/>
                </w:rPr>
                <w:t xml:space="preserve">частью </w:t>
              </w:r>
            </w:hyperlink>
            <w:hyperlink r:id="rId9" w:history="1">
              <w:r>
                <w:rPr>
                  <w:rFonts w:ascii="Times New Roman" w:eastAsia="Times New Roman" w:hAnsi="Times New Roman" w:cs="Times New Roman"/>
                  <w:sz w:val="28"/>
                  <w:szCs w:val="28"/>
                  <w:lang w:eastAsia="ru-RU"/>
                </w:rPr>
                <w:t>1.1 статьи 12.1</w:t>
              </w:r>
            </w:hyperlink>
            <w:r>
              <w:rPr>
                <w:rFonts w:ascii="Times New Roman" w:eastAsia="Times New Roman" w:hAnsi="Times New Roman" w:cs="Times New Roman"/>
                <w:sz w:val="28"/>
                <w:szCs w:val="28"/>
                <w:lang w:eastAsia="ru-RU"/>
              </w:rPr>
              <w:t xml:space="preserve">, </w:t>
            </w:r>
            <w:hyperlink r:id="rId10" w:history="1">
              <w:r>
                <w:rPr>
                  <w:rFonts w:ascii="Times New Roman" w:eastAsia="Times New Roman" w:hAnsi="Times New Roman" w:cs="Times New Roman"/>
                  <w:sz w:val="28"/>
                  <w:szCs w:val="28"/>
                  <w:lang w:eastAsia="ru-RU"/>
                </w:rPr>
                <w:t>статьей 12.8</w:t>
              </w:r>
            </w:hyperlink>
            <w:r>
              <w:rPr>
                <w:rFonts w:ascii="Times New Roman" w:eastAsia="Times New Roman" w:hAnsi="Times New Roman" w:cs="Times New Roman"/>
                <w:sz w:val="28"/>
                <w:szCs w:val="28"/>
                <w:lang w:eastAsia="ru-RU"/>
              </w:rPr>
              <w:t xml:space="preserve">, </w:t>
            </w:r>
            <w:hyperlink r:id="rId11" w:history="1">
              <w:r>
                <w:rPr>
                  <w:rFonts w:ascii="Times New Roman" w:eastAsia="Times New Roman" w:hAnsi="Times New Roman" w:cs="Times New Roman"/>
                  <w:sz w:val="28"/>
                  <w:szCs w:val="28"/>
                  <w:lang w:eastAsia="ru-RU"/>
                </w:rPr>
                <w:t>частями 6</w:t>
              </w:r>
            </w:hyperlink>
            <w:r>
              <w:rPr>
                <w:rFonts w:ascii="Times New Roman" w:eastAsia="Times New Roman" w:hAnsi="Times New Roman" w:cs="Times New Roman"/>
                <w:sz w:val="28"/>
                <w:szCs w:val="28"/>
                <w:lang w:eastAsia="ru-RU"/>
              </w:rPr>
              <w:t xml:space="preserve"> и </w:t>
            </w:r>
            <w:hyperlink r:id="rId12" w:history="1">
              <w:r>
                <w:rPr>
                  <w:rFonts w:ascii="Times New Roman" w:eastAsia="Times New Roman" w:hAnsi="Times New Roman" w:cs="Times New Roman"/>
                  <w:sz w:val="28"/>
                  <w:szCs w:val="28"/>
                  <w:lang w:eastAsia="ru-RU"/>
                </w:rPr>
                <w:t>7 статьи 12.9</w:t>
              </w:r>
            </w:hyperlink>
            <w:r>
              <w:rPr>
                <w:rFonts w:ascii="Times New Roman" w:eastAsia="Times New Roman" w:hAnsi="Times New Roman" w:cs="Times New Roman"/>
                <w:sz w:val="28"/>
                <w:szCs w:val="28"/>
                <w:lang w:eastAsia="ru-RU"/>
              </w:rPr>
              <w:t xml:space="preserve">, </w:t>
            </w:r>
            <w:hyperlink r:id="rId13" w:history="1">
              <w:r>
                <w:rPr>
                  <w:rFonts w:ascii="Times New Roman" w:eastAsia="Times New Roman" w:hAnsi="Times New Roman" w:cs="Times New Roman"/>
                  <w:sz w:val="28"/>
                  <w:szCs w:val="28"/>
                  <w:lang w:eastAsia="ru-RU"/>
                </w:rPr>
                <w:t>частью 3 статьи 12.12</w:t>
              </w:r>
            </w:hyperlink>
            <w:r>
              <w:rPr>
                <w:rFonts w:ascii="Times New Roman" w:eastAsia="Times New Roman" w:hAnsi="Times New Roman" w:cs="Times New Roman"/>
                <w:sz w:val="28"/>
                <w:szCs w:val="28"/>
                <w:lang w:eastAsia="ru-RU"/>
              </w:rPr>
              <w:t xml:space="preserve">, </w:t>
            </w:r>
            <w:hyperlink r:id="rId14" w:history="1">
              <w:r>
                <w:rPr>
                  <w:rFonts w:ascii="Times New Roman" w:eastAsia="Times New Roman" w:hAnsi="Times New Roman" w:cs="Times New Roman"/>
                  <w:sz w:val="28"/>
                  <w:szCs w:val="28"/>
                  <w:lang w:eastAsia="ru-RU"/>
                </w:rPr>
                <w:t>частью 5 статьи 12.15</w:t>
              </w:r>
            </w:hyperlink>
            <w:r>
              <w:rPr>
                <w:rFonts w:ascii="Times New Roman" w:eastAsia="Times New Roman" w:hAnsi="Times New Roman" w:cs="Times New Roman"/>
                <w:sz w:val="28"/>
                <w:szCs w:val="28"/>
                <w:lang w:eastAsia="ru-RU"/>
              </w:rPr>
              <w:t xml:space="preserve">, </w:t>
            </w:r>
            <w:hyperlink r:id="rId15" w:history="1">
              <w:r>
                <w:rPr>
                  <w:rFonts w:ascii="Times New Roman" w:eastAsia="Times New Roman" w:hAnsi="Times New Roman" w:cs="Times New Roman"/>
                  <w:sz w:val="28"/>
                  <w:szCs w:val="28"/>
                  <w:lang w:eastAsia="ru-RU"/>
                </w:rPr>
                <w:t>частью 3.1 статьи 12.16</w:t>
              </w:r>
            </w:hyperlink>
            <w:r>
              <w:rPr>
                <w:rFonts w:ascii="Times New Roman" w:eastAsia="Times New Roman" w:hAnsi="Times New Roman" w:cs="Times New Roman"/>
                <w:sz w:val="28"/>
                <w:szCs w:val="28"/>
                <w:lang w:eastAsia="ru-RU"/>
              </w:rPr>
              <w:t xml:space="preserve">, </w:t>
            </w:r>
            <w:hyperlink r:id="rId16" w:history="1">
              <w:r>
                <w:rPr>
                  <w:rFonts w:ascii="Times New Roman" w:eastAsia="Times New Roman" w:hAnsi="Times New Roman" w:cs="Times New Roman"/>
                  <w:sz w:val="28"/>
                  <w:szCs w:val="28"/>
                  <w:lang w:eastAsia="ru-RU"/>
                </w:rPr>
                <w:t>статьями 12.24</w:t>
              </w:r>
            </w:hyperlink>
            <w:r>
              <w:rPr>
                <w:rFonts w:ascii="Times New Roman" w:eastAsia="Times New Roman" w:hAnsi="Times New Roman" w:cs="Times New Roman"/>
                <w:sz w:val="28"/>
                <w:szCs w:val="28"/>
                <w:lang w:eastAsia="ru-RU"/>
              </w:rPr>
              <w:t xml:space="preserve">, </w:t>
            </w:r>
            <w:hyperlink r:id="rId17" w:history="1">
              <w:r>
                <w:rPr>
                  <w:rFonts w:ascii="Times New Roman" w:eastAsia="Times New Roman" w:hAnsi="Times New Roman" w:cs="Times New Roman"/>
                  <w:sz w:val="28"/>
                  <w:szCs w:val="28"/>
                  <w:lang w:eastAsia="ru-RU"/>
                </w:rPr>
                <w:t>12.26</w:t>
              </w:r>
            </w:hyperlink>
            <w:r>
              <w:rPr>
                <w:rFonts w:ascii="Times New Roman" w:eastAsia="Times New Roman" w:hAnsi="Times New Roman" w:cs="Times New Roman"/>
                <w:sz w:val="28"/>
                <w:szCs w:val="28"/>
                <w:lang w:eastAsia="ru-RU"/>
              </w:rPr>
              <w:t xml:space="preserve">, </w:t>
            </w:r>
            <w:hyperlink r:id="rId18" w:history="1">
              <w:r>
                <w:rPr>
                  <w:rFonts w:ascii="Times New Roman" w:eastAsia="Times New Roman" w:hAnsi="Times New Roman" w:cs="Times New Roman"/>
                  <w:sz w:val="28"/>
                  <w:szCs w:val="28"/>
                  <w:lang w:eastAsia="ru-RU"/>
                </w:rPr>
                <w:t>частью 3 статьи 12.27</w:t>
              </w:r>
            </w:hyperlink>
            <w:r>
              <w:rPr>
                <w:rFonts w:ascii="Times New Roman" w:eastAsia="Times New Roman" w:hAnsi="Times New Roman" w:cs="Times New Roman"/>
                <w:sz w:val="28"/>
                <w:szCs w:val="28"/>
                <w:lang w:eastAsia="ru-RU"/>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также в соответствии со ст. 32.2 КоАП РФ административный штраф должен быть оплачен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w:t>
            </w:r>
            <w:hyperlink r:id="rId19" w:history="1">
              <w:r>
                <w:rPr>
                  <w:rFonts w:ascii="Times New Roman" w:eastAsia="Times New Roman" w:hAnsi="Times New Roman" w:cs="Times New Roman"/>
                  <w:sz w:val="28"/>
                  <w:szCs w:val="28"/>
                  <w:lang w:eastAsia="ru-RU"/>
                </w:rPr>
                <w:t>частью 1.1</w:t>
              </w:r>
            </w:hyperlink>
            <w:r>
              <w:rPr>
                <w:rFonts w:ascii="Times New Roman" w:eastAsia="Times New Roman" w:hAnsi="Times New Roman" w:cs="Times New Roman"/>
                <w:sz w:val="28"/>
                <w:szCs w:val="28"/>
                <w:lang w:eastAsia="ru-RU"/>
              </w:rPr>
              <w:t xml:space="preserve"> или </w:t>
            </w:r>
            <w:hyperlink r:id="rId20" w:history="1">
              <w:r>
                <w:rPr>
                  <w:rFonts w:ascii="Times New Roman" w:eastAsia="Times New Roman" w:hAnsi="Times New Roman" w:cs="Times New Roman"/>
                  <w:sz w:val="28"/>
                  <w:szCs w:val="28"/>
                  <w:lang w:eastAsia="ru-RU"/>
                </w:rPr>
                <w:t>1.3</w:t>
              </w:r>
            </w:hyperlink>
            <w:r>
              <w:rPr>
                <w:rFonts w:ascii="Times New Roman" w:eastAsia="Times New Roman" w:hAnsi="Times New Roman" w:cs="Times New Roman"/>
                <w:sz w:val="28"/>
                <w:szCs w:val="28"/>
                <w:lang w:eastAsia="ru-RU"/>
              </w:rPr>
              <w:t xml:space="preserve"> настоящей статьи, либо со дня истечения срока отсрочки или срока рассрочки, предусмотренных </w:t>
            </w:r>
            <w:hyperlink r:id="rId21" w:history="1">
              <w:r>
                <w:rPr>
                  <w:rFonts w:ascii="Times New Roman" w:eastAsia="Times New Roman" w:hAnsi="Times New Roman" w:cs="Times New Roman"/>
                  <w:sz w:val="28"/>
                  <w:szCs w:val="28"/>
                  <w:lang w:eastAsia="ru-RU"/>
                </w:rPr>
                <w:t>статьей 31.5</w:t>
              </w:r>
            </w:hyperlink>
            <w:r>
              <w:rPr>
                <w:rFonts w:ascii="Times New Roman" w:eastAsia="Times New Roman" w:hAnsi="Times New Roman" w:cs="Times New Roman"/>
                <w:sz w:val="28"/>
                <w:szCs w:val="28"/>
                <w:lang w:eastAsia="ru-RU"/>
              </w:rPr>
              <w:t xml:space="preserve"> настоящего Кодекса. Кроме того разъяснены положения ч.1 ст. 20.25 КоАП РФ о том, что неуплата административного штрафа в срок, предусмотренный настоящим </w:t>
            </w:r>
            <w:hyperlink r:id="rId22" w:history="1">
              <w:r>
                <w:rPr>
                  <w:rFonts w:ascii="Times New Roman" w:eastAsia="Times New Roman" w:hAnsi="Times New Roman" w:cs="Times New Roman"/>
                  <w:sz w:val="28"/>
                  <w:szCs w:val="28"/>
                  <w:lang w:eastAsia="ru-RU"/>
                </w:rPr>
                <w:t>Кодексом</w:t>
              </w:r>
            </w:hyperlink>
            <w:r>
              <w:rPr>
                <w:rFonts w:ascii="Times New Roman" w:eastAsia="Times New Roman" w:hAnsi="Times New Roman" w:cs="Times New Roman"/>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tc>
      </w:tr>
      <w:tr w:rsidTr="007A72F7">
        <w:tblPrEx>
          <w:tblW w:w="5000" w:type="pct"/>
          <w:tblLayout w:type="fixed"/>
          <w:tblCellMar>
            <w:left w:w="10" w:type="dxa"/>
            <w:right w:w="10" w:type="dxa"/>
          </w:tblCellMar>
          <w:tblLook w:val="0000"/>
        </w:tblPrEx>
        <w:tc>
          <w:tcPr>
            <w:tcW w:w="9638" w:type="dxa"/>
            <w:shd w:val="clear" w:color="auto" w:fill="auto"/>
            <w:tcMar>
              <w:top w:w="0" w:type="dxa"/>
              <w:left w:w="0" w:type="dxa"/>
              <w:bottom w:w="0" w:type="dxa"/>
              <w:right w:w="0" w:type="dxa"/>
            </w:tcMar>
            <w:vAlign w:val="center"/>
          </w:tcPr>
          <w:p w:rsidR="00EA210B" w:rsidP="007A72F7">
            <w:pPr>
              <w:pStyle w:val="Standard"/>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 может быть обжаловано в течение 10 суток в Кировский районный суд со дня  вручения или получения копии постановления, через мирового судью судебного участка № 1 Кировского района Ставропольского края.</w:t>
            </w:r>
          </w:p>
        </w:tc>
      </w:tr>
      <w:tr w:rsidTr="007A72F7">
        <w:tblPrEx>
          <w:tblW w:w="5000" w:type="pct"/>
          <w:tblLayout w:type="fixed"/>
          <w:tblCellMar>
            <w:left w:w="10" w:type="dxa"/>
            <w:right w:w="10" w:type="dxa"/>
          </w:tblCellMar>
          <w:tblLook w:val="0000"/>
        </w:tblPrEx>
        <w:tc>
          <w:tcPr>
            <w:tcW w:w="9638" w:type="dxa"/>
            <w:shd w:val="clear" w:color="auto" w:fill="auto"/>
            <w:tcMar>
              <w:top w:w="0" w:type="dxa"/>
              <w:left w:w="0" w:type="dxa"/>
              <w:bottom w:w="0" w:type="dxa"/>
              <w:right w:w="0" w:type="dxa"/>
            </w:tcMar>
            <w:vAlign w:val="center"/>
          </w:tcPr>
          <w:p w:rsidR="00EA210B" w:rsidP="007A72F7">
            <w:pPr>
              <w:pStyle w:val="Standard"/>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Tr="007A72F7">
        <w:tblPrEx>
          <w:tblW w:w="5000" w:type="pct"/>
          <w:tblLayout w:type="fixed"/>
          <w:tblCellMar>
            <w:left w:w="10" w:type="dxa"/>
            <w:right w:w="10" w:type="dxa"/>
          </w:tblCellMar>
          <w:tblLook w:val="0000"/>
        </w:tblPrEx>
        <w:tc>
          <w:tcPr>
            <w:tcW w:w="9638" w:type="dxa"/>
            <w:shd w:val="clear" w:color="auto" w:fill="auto"/>
            <w:tcMar>
              <w:top w:w="0" w:type="dxa"/>
              <w:left w:w="0" w:type="dxa"/>
              <w:bottom w:w="0" w:type="dxa"/>
              <w:right w:w="0" w:type="dxa"/>
            </w:tcMar>
            <w:vAlign w:val="center"/>
          </w:tcPr>
          <w:p w:rsidR="00EA210B" w:rsidP="007A72F7">
            <w:pPr>
              <w:pStyle w:val="Standard"/>
              <w:rPr>
                <w:rFonts w:ascii="Times New Roman" w:eastAsia="Times New Roman" w:hAnsi="Times New Roman" w:cs="Times New Roman"/>
                <w:sz w:val="28"/>
                <w:szCs w:val="28"/>
                <w:lang w:eastAsia="ru-RU"/>
              </w:rPr>
            </w:pPr>
          </w:p>
        </w:tc>
      </w:tr>
    </w:tbl>
    <w:p w:rsidR="00EA210B" w:rsidP="00EA210B">
      <w:pPr>
        <w:pStyle w:val="Standard"/>
        <w:jc w:val="both"/>
        <w:rPr>
          <w:rFonts w:ascii="Times New Roman" w:eastAsia="Times New Roman" w:hAnsi="Times New Roman" w:cs="Times New Roman"/>
          <w:sz w:val="28"/>
          <w:szCs w:val="28"/>
          <w:lang w:eastAsia="ru-RU"/>
        </w:rPr>
      </w:pPr>
    </w:p>
    <w:p w:rsidR="00D63D70" w:rsidP="00396BC7">
      <w:pPr>
        <w:pStyle w:val="Standard"/>
        <w:ind w:firstLine="708"/>
        <w:jc w:val="both"/>
        <w:rPr>
          <w:rFonts w:hint="eastAsia"/>
        </w:rPr>
      </w:pPr>
      <w:r>
        <w:rPr>
          <w:rFonts w:ascii="Times New Roman" w:eastAsia="Times New Roman" w:hAnsi="Times New Roman" w:cs="Times New Roman"/>
          <w:b/>
          <w:sz w:val="28"/>
          <w:szCs w:val="28"/>
          <w:lang w:eastAsia="ru-RU"/>
        </w:rPr>
        <w:t>Мировой судья                                                           С.Н. Шевелева</w:t>
      </w:r>
    </w:p>
    <w:sectPr>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0B"/>
    <w:rsid w:val="002F426D"/>
    <w:rsid w:val="00396BC7"/>
    <w:rsid w:val="004E4512"/>
    <w:rsid w:val="00711914"/>
    <w:rsid w:val="007A72F7"/>
    <w:rsid w:val="00D63D70"/>
    <w:rsid w:val="00EA21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48D33C9-C6A5-48C0-A03E-F7FE014A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210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A210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EA210B"/>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C7B76A9869B53A4CF22A5AFF02D1BC77CF44B163FECC5C8F82BA72C9CC1D45E19C23AA90DE507t7L" TargetMode="External" /><Relationship Id="rId11" Type="http://schemas.openxmlformats.org/officeDocument/2006/relationships/hyperlink" Target="consultantplus://offline/ref=3C7B76A9869B53A4CF22A5AFF02D1BC77CF44B163FECC5C8F82BA72C9CC1D45E19C23AA90DEA07t2L" TargetMode="External" /><Relationship Id="rId12" Type="http://schemas.openxmlformats.org/officeDocument/2006/relationships/hyperlink" Target="consultantplus://offline/ref=3C7B76A9869B53A4CF22A5AFF02D1BC77CF44B163FECC5C8F82BA72C9CC1D45E19C23AA90DEA07t0L" TargetMode="External" /><Relationship Id="rId13" Type="http://schemas.openxmlformats.org/officeDocument/2006/relationships/hyperlink" Target="consultantplus://offline/ref=3C7B76A9869B53A4CF22A5AFF02D1BC77CF44B163FECC5C8F82BA72C9CC1D45E19C23AA90DEB07t3L" TargetMode="External" /><Relationship Id="rId14" Type="http://schemas.openxmlformats.org/officeDocument/2006/relationships/hyperlink" Target="consultantplus://offline/ref=3C7B76A9869B53A4CF22A5AFF02D1BC77CF44B163FECC5C8F82BA72C9CC1D45E19C23AAE07E107tEL" TargetMode="External" /><Relationship Id="rId15" Type="http://schemas.openxmlformats.org/officeDocument/2006/relationships/hyperlink" Target="consultantplus://offline/ref=3C7B76A9869B53A4CF22A5AFF02D1BC77CF44B163FECC5C8F82BA72C9CC1D45E19C23AAE07E607t6L" TargetMode="External" /><Relationship Id="rId16" Type="http://schemas.openxmlformats.org/officeDocument/2006/relationships/hyperlink" Target="consultantplus://offline/ref=3C7B76A9869B53A4CF22A5AFF02D1BC77CF44B163FECC5C8F82BA72C9CC1D45E19C23AA80F0Et2L" TargetMode="External" /><Relationship Id="rId17" Type="http://schemas.openxmlformats.org/officeDocument/2006/relationships/hyperlink" Target="consultantplus://offline/ref=3C7B76A9869B53A4CF22A5AFF02D1BC77CF44B163FECC5C8F82BA72C9CC1D45E19C23AA90CE307tEL" TargetMode="External" /><Relationship Id="rId18" Type="http://schemas.openxmlformats.org/officeDocument/2006/relationships/hyperlink" Target="consultantplus://offline/ref=3C7B76A9869B53A4CF22A5AFF02D1BC77CF44B163FECC5C8F82BA72C9CC1D45E19C23AAF0AE107t1L" TargetMode="External" /><Relationship Id="rId19" Type="http://schemas.openxmlformats.org/officeDocument/2006/relationships/hyperlink" Target="consultantplus://offline/ref=3AE4DF60BEE8DF42A5EF81ADAA7F61F308E50F4AA3BFF1ADE7FBE1EE62E7C424680A80704940m5v7L" TargetMode="External" /><Relationship Id="rId2" Type="http://schemas.openxmlformats.org/officeDocument/2006/relationships/webSettings" Target="webSettings.xml" /><Relationship Id="rId20" Type="http://schemas.openxmlformats.org/officeDocument/2006/relationships/hyperlink" Target="consultantplus://offline/ref=3AE4DF60BEE8DF42A5EF81ADAA7F61F308E50F4AA3BFF1ADE7FBE1EE62E7C424680A80734E4Bm5vEL" TargetMode="External" /><Relationship Id="rId21" Type="http://schemas.openxmlformats.org/officeDocument/2006/relationships/hyperlink" Target="consultantplus://offline/ref=3AE4DF60BEE8DF42A5EF81ADAA7F61F308E50F4AA3BFF1ADE7FBE1EE62E7C424680A8074494A5F45m0vDL" TargetMode="External" /><Relationship Id="rId22" Type="http://schemas.openxmlformats.org/officeDocument/2006/relationships/hyperlink" Target="consultantplus://offline/ref=A36F7F48A09F262F2CD44D7C38F1711DCD76BFD21B180B99D3C72C0A717F21A0B6E3602D1E35B7FBD2a9F" TargetMode="Externa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B84CA81CB481474999ECB71A561BCC5F7483D191617529B5E0C8E1125CBC5244B12145DA4187488LDe8M" TargetMode="External" /><Relationship Id="rId5" Type="http://schemas.openxmlformats.org/officeDocument/2006/relationships/hyperlink" Target="consultantplus://offline/ref=91C5009483FB991FDAB40BD804BD85879CA7AD40B75464ED4604EE2D7CZ0f5M" TargetMode="External" /><Relationship Id="rId6" Type="http://schemas.openxmlformats.org/officeDocument/2006/relationships/hyperlink" Target="consultantplus://offline/ref=51F51ECA60CBB23755FC3370E60D13147976826918FE75E398B58C4BFA975491F96466172B86A9318E42A02C87329890269B0A5F404BY6sCE" TargetMode="External" /><Relationship Id="rId7" Type="http://schemas.openxmlformats.org/officeDocument/2006/relationships/hyperlink" Target="consultantplus://offline/ref=ADA3CD72648B0194D98F6450F99AA89C260765C0F08A8A5B5D4164A53EADF8552C88CD1483DDD0E9C7649C82B57BABC513E9791805A8CF9FyA39H" TargetMode="External" /><Relationship Id="rId8" Type="http://schemas.openxmlformats.org/officeDocument/2006/relationships/hyperlink" Target="consultantplus://offline/ref=3C7B76A9869B53A4CF22A5AFF02D1BC77CF44B163FECC5C8F82BA72C9CC1D45E19C23AAC0FE27EBB0Dt8L" TargetMode="External" /><Relationship Id="rId9" Type="http://schemas.openxmlformats.org/officeDocument/2006/relationships/hyperlink" Target="consultantplus://offline/ref=3C7B76A9869B53A4CF22A5AFF02D1BC77CF44B163FECC5C8F82BA72C9CC1D45E19C23AA90DE707t2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